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u w:val="single"/>
          <w:rtl w:val="0"/>
        </w:rPr>
        <w:t xml:space="preserve">Math Symmetry Puzzle- Answer Instructions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15 goes in the top row, in the first column.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9 goes in the top row, in the third column.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14 goes in the top row, in the fourth and fifth columns.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4 goes in the top row, sixth column.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11 goes in the second row, first and second column.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6 goes in the third row, first, second and third column.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10 goes in the third row, fourth and fifth column.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8 goes in the fourth row, second column.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4 goes in the fourth row, third, fourth and fifth columns.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12 goes in the fourth row, sixth column.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11 goes in the fifth row, first, second and third columns.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13 goes in the fifth row, fourth and fifth columns.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2 goes in the sixth row, first and second columns.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5 goes in the sixth row, third and fifth columns.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Piece number 7 goes in the sixth row, fifth column.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Symmetry Puzzle Answer Instructions.docx</dc:title>
</cp:coreProperties>
</file>